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E" w:rsidRPr="00F211B5" w:rsidRDefault="00A25A8E" w:rsidP="00F211B5">
      <w:pPr>
        <w:spacing w:after="0" w:line="288" w:lineRule="auto"/>
        <w:jc w:val="both"/>
        <w:outlineLvl w:val="2"/>
        <w:rPr>
          <w:rFonts w:ascii="PT Astra Serif" w:eastAsia="Times New Roman" w:hAnsi="PT Astra Serif" w:cs="Arial"/>
          <w:caps/>
          <w:sz w:val="26"/>
          <w:szCs w:val="26"/>
          <w:lang w:eastAsia="ru-RU"/>
        </w:rPr>
      </w:pPr>
      <w:r w:rsidRPr="00F211B5">
        <w:rPr>
          <w:rFonts w:ascii="PT Astra Serif" w:eastAsia="Times New Roman" w:hAnsi="PT Astra Serif" w:cs="Arial"/>
          <w:caps/>
          <w:sz w:val="26"/>
          <w:szCs w:val="26"/>
          <w:lang w:eastAsia="ru-RU"/>
        </w:rPr>
        <w:t>ПАМЯТКА ГРАЖДАНАМ ПО ГАЗИФИКАЦИИ И ДОГАЗИФИКАЦИИ</w:t>
      </w:r>
    </w:p>
    <w:p w:rsidR="00A25A8E" w:rsidRPr="00F211B5" w:rsidRDefault="00A25A8E" w:rsidP="00F211B5">
      <w:pPr>
        <w:spacing w:after="0" w:line="288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A25A8E" w:rsidRPr="00F211B5" w:rsidRDefault="00A25A8E" w:rsidP="00F211B5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F211B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ПАМЯТКА ПОЛЬЗОВАТЕЛЮ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1) В чем разница между газификацией и </w:t>
      </w:r>
      <w:proofErr w:type="spellStart"/>
      <w:r w:rsidRPr="00F211B5">
        <w:rPr>
          <w:rFonts w:ascii="PT Astra Serif" w:hAnsi="PT Astra Serif" w:cs="Arial"/>
          <w:b/>
          <w:bCs/>
          <w:sz w:val="26"/>
          <w:szCs w:val="26"/>
        </w:rPr>
        <w:t>догазификацией</w:t>
      </w:r>
      <w:proofErr w:type="spellEnd"/>
      <w:r w:rsidRPr="00F211B5">
        <w:rPr>
          <w:rFonts w:ascii="PT Astra Serif" w:hAnsi="PT Astra Serif" w:cs="Arial"/>
          <w:b/>
          <w:bCs/>
          <w:sz w:val="26"/>
          <w:szCs w:val="26"/>
        </w:rPr>
        <w:t>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proofErr w:type="spellStart"/>
      <w:proofErr w:type="gramStart"/>
      <w:r w:rsidRPr="00F211B5">
        <w:rPr>
          <w:rFonts w:ascii="PT Astra Serif" w:hAnsi="PT Astra Serif" w:cs="Arial"/>
          <w:sz w:val="26"/>
          <w:szCs w:val="26"/>
        </w:rPr>
        <w:t>Догазификация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внутрипоселковые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Pr="00F211B5">
        <w:rPr>
          <w:rFonts w:ascii="PT Astra Serif" w:hAnsi="PT Astra Serif" w:cs="Arial"/>
          <w:sz w:val="26"/>
          <w:szCs w:val="26"/>
        </w:rPr>
        <w:br/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(или) межпоселковых газопроводов,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внутрипоселковых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газопроводов, а уже потом строительство газопровода до границ земельных участков заявителей.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2) Как узнать в какую программу я попадаю?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 случае если у Вас есть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документы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догазификации.</w:t>
      </w:r>
      <w:proofErr w:type="spellEnd"/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догазификацию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.</w:t>
      </w:r>
      <w:r w:rsidRPr="00F211B5">
        <w:rPr>
          <w:rFonts w:ascii="PT Astra Serif" w:hAnsi="PT Astra Serif" w:cs="Arial"/>
          <w:sz w:val="26"/>
          <w:szCs w:val="26"/>
        </w:rPr>
        <w:br/>
        <w:t xml:space="preserve">Дома, которые расположены в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негазифицированных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дств гр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>аждан.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3) Какой уровень газификации является целевым? Почему это не 100%?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Президентом Российской Федерации В.В. Путиным (поручение от 31.05.2020</w:t>
      </w:r>
      <w:r w:rsidRPr="00F211B5">
        <w:rPr>
          <w:rFonts w:ascii="PT Astra Serif" w:hAnsi="PT Astra Serif" w:cs="Arial"/>
          <w:sz w:val="26"/>
          <w:szCs w:val="26"/>
        </w:rPr>
        <w:br/>
        <w:t xml:space="preserve">№ Пр-907) поставлена цель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обеспечить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поэтапное завершение газификации России к 2024 и к 2030 году.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 соответствии с текущими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топливно-энергетическим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балансами регионов потенциальный уровень газификации оценивается 82,9 %.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4) Что такое топливно-энергетические балансы (ТЭБ)? Почему меня это должно заботить?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сетевому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  <w:r w:rsidRPr="00F211B5">
        <w:rPr>
          <w:rFonts w:ascii="PT Astra Serif" w:hAnsi="PT Astra Serif" w:cs="Arial"/>
          <w:sz w:val="26"/>
          <w:szCs w:val="26"/>
        </w:rPr>
        <w:br/>
        <w:t>ТЭБ позволит оценить перспективность перевода на газ тех или иных населенных пунктов с других источников энергии.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5) Сколько стоит «бесплатная газификация?»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a. Сколько стоит подключение до (границы земельного участка)?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В случае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,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b. Сколько стоит провести газ внутри участка?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c. А внутридомовое газовое оборудование?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подборать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оборудование.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lastRenderedPageBreak/>
        <w:t>6) Как избежать обмана при подключении?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7) Что мне нужно </w:t>
      </w:r>
      <w:proofErr w:type="gramStart"/>
      <w:r w:rsidRPr="00F211B5">
        <w:rPr>
          <w:rFonts w:ascii="PT Astra Serif" w:hAnsi="PT Astra Serif" w:cs="Arial"/>
          <w:b/>
          <w:bCs/>
          <w:sz w:val="26"/>
          <w:szCs w:val="26"/>
        </w:rPr>
        <w:t>сделать</w:t>
      </w:r>
      <w:proofErr w:type="gramEnd"/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 чтобы получить газ?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Госуслуг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, МФЦ, или с помощью единого портала единого оператора газификации СОЦГАЗ.РФ.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8) Я подал заявку – когда мне проведут газ?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газопотребления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, внутреннего газопровода по дому, монтаж газоиспользующего оборудования.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9) Могут ли мне отказать после того как я подал заявку?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Могут, если Вы представите не полный комплект документов или данные будут заполнены некорректно.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негазифицированном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населенном пункте.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10) Сколько будет стоить газ? Есть ли скрытые платежи за пользование газом?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пищеприготовление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, горячее водоснабжение, отопление).</w:t>
      </w:r>
      <w:r w:rsidRPr="00F211B5">
        <w:rPr>
          <w:rFonts w:ascii="PT Astra Serif" w:hAnsi="PT Astra Serif" w:cs="Arial"/>
          <w:sz w:val="26"/>
          <w:szCs w:val="26"/>
        </w:rPr>
        <w:br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11) Вырастет ли тариф?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lastRenderedPageBreak/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12) Как подать заявку на </w:t>
      </w:r>
      <w:proofErr w:type="spellStart"/>
      <w:r w:rsidRPr="00F211B5">
        <w:rPr>
          <w:rFonts w:ascii="PT Astra Serif" w:hAnsi="PT Astra Serif" w:cs="Arial"/>
          <w:b/>
          <w:bCs/>
          <w:sz w:val="26"/>
          <w:szCs w:val="26"/>
        </w:rPr>
        <w:t>догазификацию</w:t>
      </w:r>
      <w:proofErr w:type="spellEnd"/>
      <w:r w:rsidRPr="00F211B5">
        <w:rPr>
          <w:rFonts w:ascii="PT Astra Serif" w:hAnsi="PT Astra Serif" w:cs="Arial"/>
          <w:b/>
          <w:bCs/>
          <w:sz w:val="26"/>
          <w:szCs w:val="26"/>
        </w:rPr>
        <w:t>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a. Куда обращаться?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Госуслуг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, МФЦ, или единого оператора газификации – СОЦГАЗ.РФ.</w:t>
      </w:r>
      <w:r w:rsidRPr="00F211B5">
        <w:rPr>
          <w:rFonts w:ascii="PT Astra Serif" w:hAnsi="PT Astra Serif" w:cs="Arial"/>
          <w:sz w:val="26"/>
          <w:szCs w:val="26"/>
        </w:rPr>
        <w:br/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b. Какие документы нужны?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c. Какие критерии для соответствия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догазификации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?</w:t>
      </w:r>
      <w:r w:rsidRPr="00F211B5">
        <w:rPr>
          <w:rFonts w:ascii="PT Astra Serif" w:hAnsi="PT Astra Serif" w:cs="Arial"/>
          <w:sz w:val="26"/>
          <w:szCs w:val="26"/>
        </w:rPr>
        <w:br/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догазификации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).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13) Если я подал заявку в марте или мае я попадаю </w:t>
      </w:r>
      <w:proofErr w:type="gramStart"/>
      <w:r w:rsidRPr="00F211B5">
        <w:rPr>
          <w:rFonts w:ascii="PT Astra Serif" w:hAnsi="PT Astra Serif" w:cs="Arial"/>
          <w:b/>
          <w:bCs/>
          <w:sz w:val="26"/>
          <w:szCs w:val="26"/>
        </w:rPr>
        <w:t>под</w:t>
      </w:r>
      <w:proofErr w:type="gramEnd"/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 бесплатную </w:t>
      </w:r>
      <w:proofErr w:type="spellStart"/>
      <w:r w:rsidRPr="00F211B5">
        <w:rPr>
          <w:rFonts w:ascii="PT Astra Serif" w:hAnsi="PT Astra Serif" w:cs="Arial"/>
          <w:b/>
          <w:bCs/>
          <w:sz w:val="26"/>
          <w:szCs w:val="26"/>
        </w:rPr>
        <w:t>догазификацию?</w:t>
      </w:r>
      <w:proofErr w:type="spellEnd"/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 xml:space="preserve">Условия бесплатной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догазификации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 xml:space="preserve"> распространяются на случаи подачи заявки и заключения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договора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  <w:r w:rsidRPr="00F211B5">
        <w:rPr>
          <w:rFonts w:ascii="PT Astra Serif" w:hAnsi="PT Astra Serif" w:cs="Arial"/>
          <w:sz w:val="26"/>
          <w:szCs w:val="26"/>
        </w:rPr>
        <w:br/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Pr="00F211B5">
        <w:rPr>
          <w:rFonts w:ascii="PT Astra Serif" w:hAnsi="PT Astra Serif" w:cs="Arial"/>
          <w:sz w:val="26"/>
          <w:szCs w:val="26"/>
        </w:rPr>
        <w:t>на</w:t>
      </w:r>
      <w:proofErr w:type="gramEnd"/>
      <w:r w:rsidRPr="00F211B5">
        <w:rPr>
          <w:rFonts w:ascii="PT Astra Serif" w:hAnsi="PT Astra Serif" w:cs="Arial"/>
          <w:sz w:val="26"/>
          <w:szCs w:val="26"/>
        </w:rPr>
        <w:t xml:space="preserve"> бесплатную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догазификацию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>14) У меня остались вопросы. С кем я могу обсудить их?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b/>
          <w:bCs/>
          <w:sz w:val="26"/>
          <w:szCs w:val="26"/>
        </w:rPr>
      </w:pPr>
      <w:r w:rsidRPr="00F211B5">
        <w:rPr>
          <w:rFonts w:ascii="PT Astra Serif" w:hAnsi="PT Astra Serif" w:cs="Arial"/>
          <w:b/>
          <w:bCs/>
          <w:sz w:val="26"/>
          <w:szCs w:val="26"/>
        </w:rPr>
        <w:t xml:space="preserve">15) Что такое ЕОГ и </w:t>
      </w:r>
      <w:proofErr w:type="spellStart"/>
      <w:r w:rsidRPr="00F211B5">
        <w:rPr>
          <w:rFonts w:ascii="PT Astra Serif" w:hAnsi="PT Astra Serif" w:cs="Arial"/>
          <w:b/>
          <w:bCs/>
          <w:sz w:val="26"/>
          <w:szCs w:val="26"/>
        </w:rPr>
        <w:t>РОГа?</w:t>
      </w:r>
      <w:proofErr w:type="spellEnd"/>
    </w:p>
    <w:p w:rsidR="00F211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r w:rsidRPr="00F211B5">
        <w:rPr>
          <w:rFonts w:ascii="PT Astra Serif" w:hAnsi="PT Astra Serif" w:cs="Arial"/>
          <w:sz w:val="26"/>
          <w:szCs w:val="26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2D28B5" w:rsidRDefault="00F211B5" w:rsidP="00F211B5">
      <w:pPr>
        <w:spacing w:after="0" w:line="288" w:lineRule="auto"/>
        <w:jc w:val="both"/>
        <w:rPr>
          <w:rFonts w:ascii="PT Astra Serif" w:hAnsi="PT Astra Serif" w:cs="Arial"/>
          <w:sz w:val="26"/>
          <w:szCs w:val="26"/>
        </w:rPr>
      </w:pPr>
      <w:bookmarkStart w:id="0" w:name="_GoBack"/>
      <w:bookmarkEnd w:id="0"/>
      <w:r w:rsidRPr="00F211B5">
        <w:rPr>
          <w:rFonts w:ascii="PT Astra Serif" w:hAnsi="PT Astra Serif" w:cs="Arial"/>
          <w:sz w:val="26"/>
          <w:szCs w:val="26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F211B5">
        <w:rPr>
          <w:rFonts w:ascii="PT Astra Serif" w:hAnsi="PT Astra Serif" w:cs="Arial"/>
          <w:sz w:val="26"/>
          <w:szCs w:val="26"/>
        </w:rPr>
        <w:t>ЕОГа</w:t>
      </w:r>
      <w:proofErr w:type="spellEnd"/>
      <w:r w:rsidRPr="00F211B5">
        <w:rPr>
          <w:rFonts w:ascii="PT Astra Serif" w:hAnsi="PT Astra Serif" w:cs="Arial"/>
          <w:sz w:val="26"/>
          <w:szCs w:val="26"/>
        </w:rPr>
        <w:t>.</w:t>
      </w: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both"/>
        <w:rPr>
          <w:rFonts w:ascii="PT Astra Serif" w:hAnsi="PT Astra Serif"/>
          <w:sz w:val="26"/>
          <w:szCs w:val="26"/>
        </w:rPr>
      </w:pPr>
    </w:p>
    <w:p w:rsidR="00F211B5" w:rsidRDefault="00F211B5" w:rsidP="00F211B5">
      <w:pPr>
        <w:spacing w:after="0" w:line="288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Источник: сайт </w:t>
      </w:r>
      <w:hyperlink r:id="rId6" w:history="1">
        <w:r w:rsidRPr="00825D56">
          <w:rPr>
            <w:rStyle w:val="a3"/>
            <w:rFonts w:ascii="PT Astra Serif" w:hAnsi="PT Astra Serif"/>
            <w:sz w:val="26"/>
            <w:szCs w:val="26"/>
          </w:rPr>
          <w:t>https://www.gazcom74.ru/</w:t>
        </w:r>
      </w:hyperlink>
    </w:p>
    <w:p w:rsidR="00F211B5" w:rsidRPr="00F211B5" w:rsidRDefault="00F211B5" w:rsidP="00F211B5">
      <w:pPr>
        <w:spacing w:after="0" w:line="288" w:lineRule="auto"/>
        <w:jc w:val="both"/>
        <w:rPr>
          <w:rFonts w:ascii="PT Astra Serif" w:hAnsi="PT Astra Serif"/>
          <w:sz w:val="26"/>
          <w:szCs w:val="26"/>
        </w:rPr>
      </w:pPr>
    </w:p>
    <w:sectPr w:rsidR="00F211B5" w:rsidRPr="00F211B5" w:rsidSect="002D28B5">
      <w:pgSz w:w="11906" w:h="16838"/>
      <w:pgMar w:top="1134" w:right="6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3F"/>
    <w:multiLevelType w:val="multilevel"/>
    <w:tmpl w:val="1D521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3D2"/>
    <w:multiLevelType w:val="multilevel"/>
    <w:tmpl w:val="0B4497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6F5D"/>
    <w:multiLevelType w:val="multilevel"/>
    <w:tmpl w:val="15FA9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4DB9"/>
    <w:multiLevelType w:val="multilevel"/>
    <w:tmpl w:val="EE5E0E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5B25"/>
    <w:multiLevelType w:val="multilevel"/>
    <w:tmpl w:val="B6DED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64EBC"/>
    <w:multiLevelType w:val="multilevel"/>
    <w:tmpl w:val="AD260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308DF"/>
    <w:multiLevelType w:val="multilevel"/>
    <w:tmpl w:val="236072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E1488"/>
    <w:multiLevelType w:val="multilevel"/>
    <w:tmpl w:val="C35A0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91920"/>
    <w:multiLevelType w:val="multilevel"/>
    <w:tmpl w:val="0CB603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310CE"/>
    <w:multiLevelType w:val="multilevel"/>
    <w:tmpl w:val="CDC48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E6A86"/>
    <w:multiLevelType w:val="multilevel"/>
    <w:tmpl w:val="EBE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6138B"/>
    <w:multiLevelType w:val="multilevel"/>
    <w:tmpl w:val="C47A2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F6D5E"/>
    <w:multiLevelType w:val="multilevel"/>
    <w:tmpl w:val="ECA05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B46AB"/>
    <w:multiLevelType w:val="multilevel"/>
    <w:tmpl w:val="A10CEC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0E17"/>
    <w:multiLevelType w:val="multilevel"/>
    <w:tmpl w:val="8408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36A8C"/>
    <w:multiLevelType w:val="multilevel"/>
    <w:tmpl w:val="A0740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7"/>
    <w:rsid w:val="002D28B5"/>
    <w:rsid w:val="004048E3"/>
    <w:rsid w:val="00682937"/>
    <w:rsid w:val="00A25A8E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A8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A8E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A8E"/>
    <w:rPr>
      <w:color w:val="0000FF"/>
      <w:u w:val="single"/>
    </w:rPr>
  </w:style>
  <w:style w:type="paragraph" w:customStyle="1" w:styleId="news-date-time">
    <w:name w:val="news-date-time"/>
    <w:basedOn w:val="a"/>
    <w:rsid w:val="00A25A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5A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A8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A8E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A8E"/>
    <w:rPr>
      <w:color w:val="0000FF"/>
      <w:u w:val="single"/>
    </w:rPr>
  </w:style>
  <w:style w:type="paragraph" w:customStyle="1" w:styleId="news-date-time">
    <w:name w:val="news-date-time"/>
    <w:basedOn w:val="a"/>
    <w:rsid w:val="00A25A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5A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877161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6884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2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70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91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852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871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446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724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670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30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34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7852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751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13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39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32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577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666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235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1130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165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58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649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673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368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311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06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07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226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938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33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com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ermolaeva-ea</dc:creator>
  <cp:keywords/>
  <dc:description/>
  <cp:lastModifiedBy>ermolaeva-ea</cp:lastModifiedBy>
  <cp:revision>4</cp:revision>
  <cp:lastPrinted>2021-09-02T06:46:00Z</cp:lastPrinted>
  <dcterms:created xsi:type="dcterms:W3CDTF">2021-09-01T12:34:00Z</dcterms:created>
  <dcterms:modified xsi:type="dcterms:W3CDTF">2021-09-02T06:46:00Z</dcterms:modified>
</cp:coreProperties>
</file>